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22D21" w:rsidRDefault="005B4D36">
      <w:pPr>
        <w:jc w:val="center"/>
        <w:rPr>
          <w:rFonts w:ascii="Architects Daughter" w:eastAsia="Architects Daughter" w:hAnsi="Architects Daughter" w:cs="Architects Daughter"/>
          <w:b/>
          <w:color w:val="999999"/>
          <w:sz w:val="18"/>
          <w:szCs w:val="18"/>
        </w:rPr>
      </w:pPr>
      <w:r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  <w:t xml:space="preserve"> Classroom </w:t>
      </w:r>
      <w:proofErr w:type="spellStart"/>
      <w:r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  <w:t>Behaviour</w:t>
      </w:r>
      <w:proofErr w:type="spellEnd"/>
      <w:r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  <w:t xml:space="preserve"> Chart </w:t>
      </w:r>
      <w:r>
        <w:rPr>
          <w:noProof/>
          <w:lang w:val="en-AU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margin">
              <wp:posOffset>6057900</wp:posOffset>
            </wp:positionH>
            <wp:positionV relativeFrom="paragraph">
              <wp:posOffset>0</wp:posOffset>
            </wp:positionV>
            <wp:extent cx="760730" cy="570548"/>
            <wp:effectExtent l="0" t="0" r="0" b="0"/>
            <wp:wrapSquare wrapText="bothSides" distT="114300" distB="114300" distL="114300" distR="11430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5705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2D21" w:rsidRDefault="005B4D36">
      <w:pPr>
        <w:jc w:val="center"/>
        <w:rPr>
          <w:rFonts w:ascii="Arial" w:eastAsia="Arial" w:hAnsi="Arial" w:cs="Arial"/>
          <w:b/>
          <w:i/>
          <w:sz w:val="18"/>
          <w:szCs w:val="18"/>
        </w:rPr>
      </w:pPr>
      <w:r>
        <w:rPr>
          <w:rFonts w:ascii="Arial" w:eastAsia="Arial" w:hAnsi="Arial" w:cs="Arial"/>
          <w:b/>
          <w:i/>
          <w:sz w:val="18"/>
          <w:szCs w:val="18"/>
        </w:rPr>
        <w:t>At Mount Annan Public School we expect ALL students to be ‘Safe, Respectful Learners’.</w:t>
      </w:r>
    </w:p>
    <w:tbl>
      <w:tblPr>
        <w:tblStyle w:val="a"/>
        <w:tblW w:w="11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55"/>
        <w:gridCol w:w="2370"/>
        <w:gridCol w:w="2415"/>
        <w:gridCol w:w="5515"/>
      </w:tblGrid>
      <w:tr w:rsidR="00F22D21" w:rsidTr="00DE07D4">
        <w:trPr>
          <w:trHeight w:val="200"/>
        </w:trPr>
        <w:tc>
          <w:tcPr>
            <w:tcW w:w="1155" w:type="dxa"/>
            <w:vMerge w:val="restart"/>
            <w:shd w:val="clear" w:color="auto" w:fill="D9D9D9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Level</w:t>
            </w: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4785" w:type="dxa"/>
            <w:gridSpan w:val="2"/>
            <w:vMerge w:val="restart"/>
            <w:shd w:val="clear" w:color="auto" w:fill="D9D9D9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  <w:t xml:space="preserve">Example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5515" w:type="dxa"/>
            <w:vMerge w:val="restart"/>
            <w:shd w:val="clear" w:color="auto" w:fill="D9D9D9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Consequences and Levels</w:t>
            </w:r>
          </w:p>
          <w:p w:rsidR="00F22D21" w:rsidRPr="00DE07D4" w:rsidRDefault="005B4D36" w:rsidP="00DE07D4">
            <w:pPr>
              <w:rPr>
                <w:rFonts w:ascii="Arial" w:eastAsia="Arial" w:hAnsi="Arial" w:cs="Arial"/>
                <w:sz w:val="14"/>
                <w:szCs w:val="14"/>
              </w:rPr>
            </w:pPr>
            <w:r w:rsidRPr="00DE07D4">
              <w:rPr>
                <w:rFonts w:ascii="Arial" w:eastAsia="Arial" w:hAnsi="Arial" w:cs="Arial"/>
                <w:sz w:val="14"/>
                <w:szCs w:val="14"/>
              </w:rPr>
              <w:t xml:space="preserve">May be determined in consultation with executive depending on severity of </w:t>
            </w:r>
            <w:proofErr w:type="spellStart"/>
            <w:r w:rsidRPr="00DE07D4">
              <w:rPr>
                <w:rFonts w:ascii="Arial" w:eastAsia="Arial" w:hAnsi="Arial" w:cs="Arial"/>
                <w:sz w:val="14"/>
                <w:szCs w:val="14"/>
              </w:rPr>
              <w:t>behaviour</w:t>
            </w:r>
            <w:proofErr w:type="spellEnd"/>
          </w:p>
        </w:tc>
      </w:tr>
      <w:tr w:rsidR="00F22D21" w:rsidTr="00DE07D4">
        <w:trPr>
          <w:trHeight w:val="230"/>
        </w:trPr>
        <w:tc>
          <w:tcPr>
            <w:tcW w:w="1155" w:type="dxa"/>
            <w:vMerge/>
            <w:shd w:val="clear" w:color="auto" w:fill="D9D9D9"/>
          </w:tcPr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785" w:type="dxa"/>
            <w:gridSpan w:val="2"/>
            <w:vMerge/>
            <w:shd w:val="clear" w:color="auto" w:fill="D9D9D9"/>
          </w:tcPr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515" w:type="dxa"/>
            <w:vMerge/>
            <w:shd w:val="clear" w:color="auto" w:fill="D9D9D9"/>
          </w:tcPr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22D21" w:rsidTr="00DE07D4">
        <w:trPr>
          <w:trHeight w:val="180"/>
        </w:trPr>
        <w:tc>
          <w:tcPr>
            <w:tcW w:w="115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Expected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  <w:p w:rsidR="00F22D21" w:rsidRDefault="00F22D2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785" w:type="dxa"/>
            <w:gridSpan w:val="2"/>
          </w:tcPr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(See Classroom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Matrix)</w:t>
            </w:r>
          </w:p>
        </w:tc>
        <w:tc>
          <w:tcPr>
            <w:tcW w:w="5515" w:type="dxa"/>
          </w:tcPr>
          <w:p w:rsidR="00F22D21" w:rsidRDefault="005B4D36">
            <w:pPr>
              <w:numPr>
                <w:ilvl w:val="0"/>
                <w:numId w:val="3"/>
              </w:numPr>
              <w:ind w:left="176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Students reaching full potential </w:t>
            </w:r>
          </w:p>
          <w:p w:rsidR="00F22D21" w:rsidRDefault="005B4D36">
            <w:pPr>
              <w:numPr>
                <w:ilvl w:val="0"/>
                <w:numId w:val="3"/>
              </w:numPr>
              <w:ind w:left="176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Happy and positive learning environments </w:t>
            </w:r>
          </w:p>
          <w:p w:rsidR="00F22D21" w:rsidRDefault="005B4D36">
            <w:pPr>
              <w:numPr>
                <w:ilvl w:val="0"/>
                <w:numId w:val="3"/>
              </w:numPr>
              <w:ind w:left="176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Stamp on daily chart </w:t>
            </w:r>
          </w:p>
        </w:tc>
      </w:tr>
      <w:tr w:rsidR="00F22D21" w:rsidTr="00DE07D4">
        <w:trPr>
          <w:trHeight w:val="180"/>
        </w:trPr>
        <w:tc>
          <w:tcPr>
            <w:tcW w:w="1155" w:type="dxa"/>
            <w:shd w:val="clear" w:color="auto" w:fill="FFFFFF"/>
          </w:tcPr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One Off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Calling out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Off task 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Talking at inappropriate times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Verbal warning 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22D21" w:rsidTr="00DE07D4">
        <w:trPr>
          <w:trHeight w:val="180"/>
        </w:trPr>
        <w:tc>
          <w:tcPr>
            <w:tcW w:w="1155" w:type="dxa"/>
            <w:shd w:val="clear" w:color="auto" w:fill="FFFFFF"/>
          </w:tcPr>
          <w:p w:rsidR="00F22D21" w:rsidRDefault="00F22D2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Second instance of above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Speaking disrespectfully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Inappropriate response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Name on board 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22D21" w:rsidTr="00DE07D4">
        <w:trPr>
          <w:trHeight w:val="180"/>
        </w:trPr>
        <w:tc>
          <w:tcPr>
            <w:tcW w:w="115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Low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F22D2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Continuously off task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Incompletion of work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Not following teacher instructions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Work avoidance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Touching/annoying others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X next to name on board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Time-out in class (5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mins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Classroom teacher to supervise consequence where appropriate (not detention room)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22D21" w:rsidTr="00DE07D4">
        <w:trPr>
          <w:trHeight w:val="180"/>
        </w:trPr>
        <w:tc>
          <w:tcPr>
            <w:tcW w:w="115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Medium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1)</w:t>
            </w:r>
          </w:p>
          <w:p w:rsidR="00F22D21" w:rsidRDefault="00F22D2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Low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Disrespect to other students e.g. verbal aggression, taking things from others, personal space, low level physical aggression (e.g. pushing, pinching)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Continually breaking class rules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XX next to name on board 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Time-out in class (10mins)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Classroom teacher to supervise consequence where appropriate (not detention room)</w:t>
            </w:r>
          </w:p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Consistent 2 crosses in class = Level 1 letter home - 1 to 3 days detention at lunch 1.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Supervisor to approve placing student on level following consultation with teacher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. Class teacher to add to SENTRAL. Supervisor and class teacher to sign note home. If one day, teacher to contact parent by phone (still logged on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Sentral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). Longer will require a letter home. </w:t>
            </w:r>
          </w:p>
        </w:tc>
      </w:tr>
      <w:tr w:rsidR="00F22D21" w:rsidTr="00DE07D4">
        <w:trPr>
          <w:trHeight w:val="200"/>
        </w:trPr>
        <w:tc>
          <w:tcPr>
            <w:tcW w:w="1155" w:type="dxa"/>
            <w:vMerge w:val="restart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High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2)</w:t>
            </w: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(Level 3) </w:t>
            </w:r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Medium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Continued inappropriate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Continued disrespect towards others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Continued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misbehaviour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in class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been reviewed after being placed on Level 1 and the student’s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not improved.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XXX Time-out in </w:t>
            </w:r>
            <w:r>
              <w:rPr>
                <w:rFonts w:ascii="Arial" w:eastAsia="Arial" w:hAnsi="Arial" w:cs="Arial"/>
                <w:sz w:val="16"/>
                <w:szCs w:val="16"/>
              </w:rPr>
              <w:t>buddy class (15mins)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Classroom teacher to supervise consequence where appropriate (not detention room)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Teacher to contact parent if appropriate (discuss with supervisor)</w:t>
            </w:r>
          </w:p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Consistent 3 crosses = Level 2 letter home - up to 5 days detention at lunch 1.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Sup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ervisor to approve placing student on level following consultation with teacher. Supervisor to add to SENTRAL.</w:t>
            </w:r>
          </w:p>
        </w:tc>
      </w:tr>
      <w:tr w:rsidR="00F22D21" w:rsidTr="00DE07D4">
        <w:trPr>
          <w:trHeight w:val="200"/>
        </w:trPr>
        <w:tc>
          <w:tcPr>
            <w:tcW w:w="1155" w:type="dxa"/>
            <w:vMerge/>
          </w:tcPr>
          <w:p w:rsidR="00F22D21" w:rsidRDefault="00F22D21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6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Ongoing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misbehaviour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in class that i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disrupti</w:t>
            </w:r>
            <w:r>
              <w:rPr>
                <w:rFonts w:ascii="Arial" w:eastAsia="Arial" w:hAnsi="Arial" w:cs="Arial"/>
                <w:sz w:val="16"/>
                <w:szCs w:val="16"/>
              </w:rPr>
              <w:t>ng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the learning of others</w:t>
            </w:r>
          </w:p>
          <w:p w:rsidR="00F22D21" w:rsidRDefault="005B4D36">
            <w:pPr>
              <w:numPr>
                <w:ilvl w:val="0"/>
                <w:numId w:val="6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Repeated involvement in classroom incidents and/or involvement in a serious incident</w:t>
            </w:r>
          </w:p>
          <w:p w:rsidR="00F22D21" w:rsidRDefault="005B4D36">
            <w:pPr>
              <w:numPr>
                <w:ilvl w:val="0"/>
                <w:numId w:val="6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been reviewed after being placed on Level 2 and the student’s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not improved.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XXXX Sent to supervisor 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Teacher to contact parent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Teacher/supervis</w:t>
            </w:r>
            <w:r>
              <w:rPr>
                <w:rFonts w:ascii="Arial" w:eastAsia="Arial" w:hAnsi="Arial" w:cs="Arial"/>
                <w:sz w:val="16"/>
                <w:szCs w:val="16"/>
              </w:rPr>
              <w:t>or to discuss further consequences/support if needed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Record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/s on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Sentral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OR 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Referral to DP/Principal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Parent Contacted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Supervisor/DP/P to discuss further consequences/support if needed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Record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/s on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Sentral</w:t>
            </w:r>
            <w:proofErr w:type="spellEnd"/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Level 3 letter home - up to 5 days detention at lunch 1 and recess 1.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No attendance at sport, excursions or gala days.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Supervisor only to place student on level.</w:t>
            </w:r>
          </w:p>
        </w:tc>
      </w:tr>
      <w:tr w:rsidR="00F22D21" w:rsidTr="00DE07D4">
        <w:trPr>
          <w:trHeight w:val="200"/>
        </w:trPr>
        <w:tc>
          <w:tcPr>
            <w:tcW w:w="115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Very High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4)</w:t>
            </w: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4785" w:type="dxa"/>
            <w:gridSpan w:val="2"/>
          </w:tcPr>
          <w:p w:rsidR="00F22D21" w:rsidRDefault="005B4D36">
            <w:pPr>
              <w:numPr>
                <w:ilvl w:val="0"/>
                <w:numId w:val="2"/>
              </w:numPr>
              <w:spacing w:line="259" w:lineRule="auto"/>
              <w:ind w:left="296" w:hanging="27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High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F22D21" w:rsidRDefault="005B4D36">
            <w:pPr>
              <w:numPr>
                <w:ilvl w:val="0"/>
                <w:numId w:val="2"/>
              </w:numPr>
              <w:spacing w:line="259" w:lineRule="auto"/>
              <w:ind w:left="296" w:hanging="27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Continued disobedience</w:t>
            </w:r>
          </w:p>
          <w:p w:rsidR="00F22D21" w:rsidRDefault="005B4D36">
            <w:pPr>
              <w:numPr>
                <w:ilvl w:val="0"/>
                <w:numId w:val="2"/>
              </w:numPr>
              <w:spacing w:line="259" w:lineRule="auto"/>
              <w:ind w:left="296" w:hanging="27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Aggressive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towards students and/or staff with intent to harm</w:t>
            </w:r>
          </w:p>
          <w:p w:rsidR="00F22D21" w:rsidRDefault="005B4D36">
            <w:pPr>
              <w:numPr>
                <w:ilvl w:val="0"/>
                <w:numId w:val="2"/>
              </w:numPr>
              <w:spacing w:line="259" w:lineRule="auto"/>
              <w:ind w:left="296" w:hanging="27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Unchanged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 disrespect and/or significant disruption to the learning of others</w:t>
            </w:r>
          </w:p>
          <w:p w:rsidR="00F22D21" w:rsidRDefault="005B4D36">
            <w:pPr>
              <w:numPr>
                <w:ilvl w:val="0"/>
                <w:numId w:val="2"/>
              </w:numPr>
              <w:spacing w:line="259" w:lineRule="auto"/>
              <w:ind w:left="296" w:hanging="27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been reviewed after being placed on  Level 3 and the student’s 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not </w:t>
            </w:r>
            <w:r>
              <w:rPr>
                <w:rFonts w:ascii="Arial" w:eastAsia="Arial" w:hAnsi="Arial" w:cs="Arial"/>
                <w:sz w:val="16"/>
                <w:szCs w:val="16"/>
              </w:rPr>
              <w:t>improved</w:t>
            </w:r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Level 4 letter home - 5 days detention at lunch 1, 2  and recess (Pre suspension)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No attendance at sport, excursions or gala days.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Principal or Deputy Principal only to place student on Level 4.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22D21" w:rsidTr="00DE07D4">
        <w:tc>
          <w:tcPr>
            <w:tcW w:w="115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Extreme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  <w:highlight w:val="green"/>
              </w:rPr>
            </w:pPr>
          </w:p>
        </w:tc>
        <w:tc>
          <w:tcPr>
            <w:tcW w:w="2370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Short Suspension (</w:t>
            </w:r>
            <w:r>
              <w:rPr>
                <w:rFonts w:ascii="Arial" w:eastAsia="Arial" w:hAnsi="Arial" w:cs="Arial"/>
                <w:sz w:val="16"/>
                <w:szCs w:val="16"/>
              </w:rPr>
              <w:t>up to 4 days)</w:t>
            </w:r>
          </w:p>
          <w:p w:rsidR="00F22D21" w:rsidRDefault="005B4D36">
            <w:pPr>
              <w:numPr>
                <w:ilvl w:val="0"/>
                <w:numId w:val="8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Aggressive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causing injury to students, staff or other persons</w:t>
            </w:r>
          </w:p>
          <w:p w:rsidR="00F22D21" w:rsidRDefault="005B4D36">
            <w:pPr>
              <w:numPr>
                <w:ilvl w:val="0"/>
                <w:numId w:val="8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Damaging the property of the school or students</w:t>
            </w:r>
          </w:p>
        </w:tc>
        <w:tc>
          <w:tcPr>
            <w:tcW w:w="24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Long Suspension (up to 21 days)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Physical violence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Possession; supply or use of a suspected illegal substance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Use or posses</w:t>
            </w:r>
            <w:r>
              <w:rPr>
                <w:rFonts w:ascii="Arial" w:eastAsia="Arial" w:hAnsi="Arial" w:cs="Arial"/>
                <w:sz w:val="16"/>
                <w:szCs w:val="16"/>
              </w:rPr>
              <w:t>sion of a prohibited weapon, firearm or knife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Serious criminal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</w:p>
        </w:tc>
        <w:tc>
          <w:tcPr>
            <w:tcW w:w="5515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Suspension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At Principal/Delegate discretion as discussed with Supervisor and in line with DoE guidelines. 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F22D21" w:rsidRDefault="005B4D36">
      <w:pPr>
        <w:rPr>
          <w:rFonts w:ascii="Architects Daughter" w:eastAsia="Architects Daughter" w:hAnsi="Architects Daughter" w:cs="Architects Daughter"/>
          <w:b/>
          <w:color w:val="999999"/>
          <w:sz w:val="16"/>
          <w:szCs w:val="16"/>
        </w:rPr>
      </w:pPr>
      <w:r>
        <w:rPr>
          <w:rFonts w:ascii="Architects Daughter" w:eastAsia="Architects Daughter" w:hAnsi="Architects Daughter" w:cs="Architects Daughter"/>
          <w:b/>
          <w:color w:val="999999"/>
          <w:sz w:val="16"/>
          <w:szCs w:val="16"/>
        </w:rPr>
        <w:t xml:space="preserve">        </w:t>
      </w:r>
    </w:p>
    <w:p w:rsidR="00F22D21" w:rsidRDefault="005B4D36">
      <w:pPr>
        <w:numPr>
          <w:ilvl w:val="0"/>
          <w:numId w:val="4"/>
        </w:numPr>
        <w:spacing w:after="0" w:line="276" w:lineRule="auto"/>
        <w:contextualSpacing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Students on an Individual </w:t>
      </w:r>
      <w:proofErr w:type="spellStart"/>
      <w:r>
        <w:rPr>
          <w:rFonts w:ascii="Arial" w:eastAsia="Arial" w:hAnsi="Arial" w:cs="Arial"/>
          <w:sz w:val="16"/>
          <w:szCs w:val="16"/>
        </w:rPr>
        <w:t>Behaviour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Plan may operate outside of this system</w:t>
      </w:r>
    </w:p>
    <w:p w:rsidR="00F22D21" w:rsidRDefault="005B4D36">
      <w:pPr>
        <w:jc w:val="center"/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</w:pPr>
      <w:r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  <w:lastRenderedPageBreak/>
        <w:t xml:space="preserve">Playground </w:t>
      </w:r>
      <w:proofErr w:type="spellStart"/>
      <w:r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  <w:t>Behaviour</w:t>
      </w:r>
      <w:proofErr w:type="spellEnd"/>
      <w:r>
        <w:rPr>
          <w:rFonts w:ascii="Architects Daughter" w:eastAsia="Architects Daughter" w:hAnsi="Architects Daughter" w:cs="Architects Daughter"/>
          <w:b/>
          <w:color w:val="999999"/>
          <w:sz w:val="48"/>
          <w:szCs w:val="48"/>
        </w:rPr>
        <w:t xml:space="preserve"> Chart </w:t>
      </w:r>
      <w:r>
        <w:rPr>
          <w:noProof/>
          <w:lang w:val="en-AU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margin">
              <wp:posOffset>6057900</wp:posOffset>
            </wp:positionH>
            <wp:positionV relativeFrom="paragraph">
              <wp:posOffset>0</wp:posOffset>
            </wp:positionV>
            <wp:extent cx="692849" cy="519636"/>
            <wp:effectExtent l="0" t="0" r="0" b="0"/>
            <wp:wrapSquare wrapText="bothSides" distT="114300" distB="11430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2849" cy="5196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2D21" w:rsidRDefault="005B4D36">
      <w:pPr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At Mount Annan Public School we expect ALL students to be ‘Safe, Respectful Learners’.</w:t>
      </w:r>
    </w:p>
    <w:tbl>
      <w:tblPr>
        <w:tblStyle w:val="a0"/>
        <w:tblW w:w="11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5"/>
        <w:gridCol w:w="2865"/>
        <w:gridCol w:w="3015"/>
        <w:gridCol w:w="3480"/>
      </w:tblGrid>
      <w:tr w:rsidR="00F22D21">
        <w:tc>
          <w:tcPr>
            <w:tcW w:w="1845" w:type="dxa"/>
            <w:shd w:val="clear" w:color="auto" w:fill="D9D9D9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Level</w:t>
            </w:r>
          </w:p>
          <w:p w:rsidR="00F22D21" w:rsidRDefault="00F22D2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880" w:type="dxa"/>
            <w:gridSpan w:val="2"/>
            <w:shd w:val="clear" w:color="auto" w:fill="D9D9D9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  <w:t xml:space="preserve">Example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80" w:type="dxa"/>
            <w:shd w:val="clear" w:color="auto" w:fill="D9D9D9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Consequences and Levels</w:t>
            </w:r>
          </w:p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May be determined in consultation with executive depending on severity of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</w:p>
        </w:tc>
      </w:tr>
      <w:tr w:rsidR="00F22D21">
        <w:tc>
          <w:tcPr>
            <w:tcW w:w="184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Expected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(See Playground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Matrix)</w:t>
            </w:r>
          </w:p>
        </w:tc>
        <w:tc>
          <w:tcPr>
            <w:tcW w:w="2865" w:type="dxa"/>
          </w:tcPr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Walk in all concrete areas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Include others in play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Speak respectfully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Follow teacher instructions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Play fairly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Keep hands and feet to yourself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Line up safely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Follow game rules</w:t>
            </w:r>
          </w:p>
        </w:tc>
        <w:tc>
          <w:tcPr>
            <w:tcW w:w="3015" w:type="dxa"/>
          </w:tcPr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Use equipment </w:t>
            </w:r>
            <w:r>
              <w:rPr>
                <w:rFonts w:ascii="Arial" w:eastAsia="Arial" w:hAnsi="Arial" w:cs="Arial"/>
                <w:sz w:val="16"/>
                <w:szCs w:val="16"/>
              </w:rPr>
              <w:t>correctly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Use manners</w:t>
            </w:r>
          </w:p>
          <w:p w:rsidR="00F22D21" w:rsidRDefault="005B4D36">
            <w:pPr>
              <w:numPr>
                <w:ilvl w:val="0"/>
                <w:numId w:val="5"/>
              </w:numPr>
              <w:spacing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Put rubbish in the bin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Use toilet areas appropriately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Use appropriate language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Wear a hat in correct areas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Stay in correct areas</w:t>
            </w:r>
          </w:p>
          <w:p w:rsidR="00F22D21" w:rsidRDefault="005B4D36">
            <w:pPr>
              <w:numPr>
                <w:ilvl w:val="0"/>
                <w:numId w:val="5"/>
              </w:numPr>
              <w:spacing w:after="160" w:line="259" w:lineRule="auto"/>
              <w:ind w:left="182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Include others</w:t>
            </w:r>
          </w:p>
          <w:p w:rsidR="00F22D21" w:rsidRDefault="00F22D21">
            <w:pPr>
              <w:spacing w:after="160" w:line="259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80" w:type="dxa"/>
          </w:tcPr>
          <w:p w:rsidR="00F22D21" w:rsidRDefault="005B4D36">
            <w:pPr>
              <w:numPr>
                <w:ilvl w:val="0"/>
                <w:numId w:val="7"/>
              </w:numPr>
              <w:ind w:left="161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Happy and safe playground</w:t>
            </w:r>
          </w:p>
          <w:p w:rsidR="00F22D21" w:rsidRDefault="005B4D36">
            <w:pPr>
              <w:numPr>
                <w:ilvl w:val="0"/>
                <w:numId w:val="7"/>
              </w:numPr>
              <w:ind w:left="161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Development of positive friendships</w:t>
            </w:r>
          </w:p>
          <w:p w:rsidR="00F22D21" w:rsidRDefault="005B4D36">
            <w:pPr>
              <w:numPr>
                <w:ilvl w:val="0"/>
                <w:numId w:val="7"/>
              </w:numPr>
              <w:ind w:left="161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Students developing positive leadership skills</w:t>
            </w:r>
          </w:p>
        </w:tc>
      </w:tr>
      <w:tr w:rsidR="00F22D21">
        <w:tc>
          <w:tcPr>
            <w:tcW w:w="184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Low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865" w:type="dxa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Speaking disrespectfully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Out of Bounds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Playing in the toilets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Running on the concrete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Not wearing a hat in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sunny </w:t>
            </w:r>
            <w:r>
              <w:rPr>
                <w:rFonts w:ascii="Arial" w:eastAsia="Arial" w:hAnsi="Arial" w:cs="Arial"/>
                <w:sz w:val="16"/>
                <w:szCs w:val="16"/>
              </w:rPr>
              <w:t>areas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Inappropriate languag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  <w:tc>
          <w:tcPr>
            <w:tcW w:w="3015" w:type="dxa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Shouting/yelling at others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Name calling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Dropping rubbish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Not listening to others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80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Reminder of correct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Apology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Pick up rubbish dropped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Walk and talk with teacher on duty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Counsel child in the playground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22D21">
        <w:trPr>
          <w:trHeight w:val="200"/>
        </w:trPr>
        <w:tc>
          <w:tcPr>
            <w:tcW w:w="184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Medium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1)</w:t>
            </w:r>
          </w:p>
        </w:tc>
        <w:tc>
          <w:tcPr>
            <w:tcW w:w="5880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Low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Damaging school areas/ equipment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Inappropriate language 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Disrespect to other students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Lying/dishonesty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Unsafe play (as determined by duty teacher and communicated to stage supervisor)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80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Level 1 letter home - up to 3 days detention at lunch 1.</w:t>
            </w:r>
          </w:p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Supervisor to approve placing student on level following consultation with teacher. Playground teacher to add to SENTRAL. Supervisor (of student) to sign note home. </w:t>
            </w:r>
          </w:p>
        </w:tc>
      </w:tr>
      <w:tr w:rsidR="00F22D21">
        <w:trPr>
          <w:trHeight w:val="200"/>
        </w:trPr>
        <w:tc>
          <w:tcPr>
            <w:tcW w:w="184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High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2)</w:t>
            </w:r>
          </w:p>
        </w:tc>
        <w:tc>
          <w:tcPr>
            <w:tcW w:w="5880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Medium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Involvement in a significant playground incident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Disrespect to staff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Low level bullying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been reviewed after one week at Level 1 and the student’s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not improved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Swearing directed at others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80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Level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2 letter home - </w:t>
            </w:r>
            <w:proofErr w:type="gramStart"/>
            <w:r>
              <w:rPr>
                <w:rFonts w:ascii="Arial" w:eastAsia="Arial" w:hAnsi="Arial" w:cs="Arial"/>
                <w:b/>
                <w:sz w:val="16"/>
                <w:szCs w:val="16"/>
              </w:rPr>
              <w:t>3  to</w:t>
            </w:r>
            <w:proofErr w:type="gram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5 days detention at lunch 1.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Supervisor (of student) to approve placing student on level following consultation with teacher. Supervisor to add to SENTRAL.</w:t>
            </w:r>
          </w:p>
          <w:p w:rsidR="00F22D21" w:rsidRDefault="00F22D2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F22D21">
        <w:trPr>
          <w:trHeight w:val="200"/>
        </w:trPr>
        <w:tc>
          <w:tcPr>
            <w:tcW w:w="1845" w:type="dxa"/>
            <w:vMerge w:val="restart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Very High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3)</w:t>
            </w: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(Level 4)</w:t>
            </w:r>
          </w:p>
        </w:tc>
        <w:tc>
          <w:tcPr>
            <w:tcW w:w="5880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High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Repeated involvement in playground incidents and/or involvement in a serious incident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Higher level bullying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has not improved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80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Level 3 letter home - up to 5 days detention at lunch 1 and recess 1.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 attendance at sp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ort, excursions or gala days.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Supervisor to okay placing student on level following consultation with teacher. Supervisor to add to SENTRAL.</w:t>
            </w:r>
          </w:p>
        </w:tc>
      </w:tr>
      <w:tr w:rsidR="00F22D21">
        <w:trPr>
          <w:trHeight w:val="200"/>
        </w:trPr>
        <w:tc>
          <w:tcPr>
            <w:tcW w:w="1845" w:type="dxa"/>
            <w:vMerge/>
          </w:tcPr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880" w:type="dxa"/>
            <w:gridSpan w:val="2"/>
          </w:tcPr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Repeated High Level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Behaviours</w:t>
            </w:r>
            <w:proofErr w:type="spellEnd"/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Aggressive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towards students and/or staff with intent to harm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More extreme bullying</w:t>
            </w:r>
          </w:p>
          <w:p w:rsidR="00F22D21" w:rsidRDefault="005B4D36">
            <w:pPr>
              <w:numPr>
                <w:ilvl w:val="0"/>
                <w:numId w:val="5"/>
              </w:numPr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Unchanged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 continued disrespect or disobedience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3480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Level 4 letter home - 5 days detention at lunch 1, </w:t>
            </w:r>
            <w:proofErr w:type="gramStart"/>
            <w:r>
              <w:rPr>
                <w:rFonts w:ascii="Arial" w:eastAsia="Arial" w:hAnsi="Arial" w:cs="Arial"/>
                <w:b/>
                <w:sz w:val="16"/>
                <w:szCs w:val="16"/>
              </w:rPr>
              <w:t>2  and</w:t>
            </w:r>
            <w:proofErr w:type="gramEnd"/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recess 1 (Pre suspension).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No attendance at sport, excursions or gala days. </w:t>
            </w: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Principal or Deputy Principal only to place student on Level 4.</w:t>
            </w:r>
          </w:p>
          <w:p w:rsidR="00F22D21" w:rsidRDefault="00F22D21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F22D21">
        <w:tc>
          <w:tcPr>
            <w:tcW w:w="1845" w:type="dxa"/>
          </w:tcPr>
          <w:p w:rsidR="00F22D21" w:rsidRDefault="005B4D3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Extreme Level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Behaviours</w:t>
            </w:r>
            <w:proofErr w:type="spellEnd"/>
          </w:p>
          <w:p w:rsidR="00F22D21" w:rsidRDefault="00F22D21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6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Short Suspension (up to 4 days)</w:t>
            </w:r>
          </w:p>
          <w:p w:rsidR="00F22D21" w:rsidRDefault="005B4D36">
            <w:pPr>
              <w:numPr>
                <w:ilvl w:val="0"/>
                <w:numId w:val="8"/>
              </w:numPr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Aggressive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causing injury to students, staff or other persons</w:t>
            </w:r>
          </w:p>
          <w:p w:rsidR="00F22D21" w:rsidRDefault="005B4D36">
            <w:pPr>
              <w:numPr>
                <w:ilvl w:val="0"/>
                <w:numId w:val="8"/>
              </w:numPr>
              <w:spacing w:after="160"/>
              <w:ind w:left="182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Damaging the property of the school or students</w:t>
            </w:r>
          </w:p>
        </w:tc>
        <w:tc>
          <w:tcPr>
            <w:tcW w:w="3015" w:type="dxa"/>
          </w:tcPr>
          <w:p w:rsidR="00F22D21" w:rsidRDefault="005B4D3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Long Suspension (up to 21 days)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Physical violence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Possession; supply or use of a suspected illegal substance</w:t>
            </w:r>
          </w:p>
          <w:p w:rsidR="00F22D21" w:rsidRDefault="005B4D36">
            <w:pPr>
              <w:numPr>
                <w:ilvl w:val="0"/>
                <w:numId w:val="1"/>
              </w:numPr>
              <w:ind w:left="207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Use or possession of a prohibited weapon, firearm or knife</w:t>
            </w:r>
          </w:p>
          <w:p w:rsidR="00F22D21" w:rsidRDefault="005B4D36">
            <w:pPr>
              <w:numPr>
                <w:ilvl w:val="0"/>
                <w:numId w:val="1"/>
              </w:numPr>
              <w:spacing w:after="160"/>
              <w:ind w:left="207" w:hanging="180"/>
              <w:contextualSpacing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Serious criminal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behaviour</w:t>
            </w:r>
            <w:proofErr w:type="spellEnd"/>
          </w:p>
        </w:tc>
        <w:tc>
          <w:tcPr>
            <w:tcW w:w="3480" w:type="dxa"/>
          </w:tcPr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Suspension</w:t>
            </w:r>
          </w:p>
          <w:p w:rsidR="00F22D21" w:rsidRDefault="00F22D21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:rsidR="00F22D21" w:rsidRDefault="005B4D3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At Principal/Delegate’s discretion, as discussed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with Supervisor, and in line with DoE guidelines. </w:t>
            </w:r>
          </w:p>
        </w:tc>
      </w:tr>
    </w:tbl>
    <w:p w:rsidR="00F22D21" w:rsidRDefault="005B4D3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2D21" w:rsidRDefault="005B4D36">
      <w:pPr>
        <w:numPr>
          <w:ilvl w:val="0"/>
          <w:numId w:val="4"/>
        </w:numPr>
        <w:spacing w:after="0" w:line="276" w:lineRule="auto"/>
        <w:contextualSpacing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Students on an Individual </w:t>
      </w:r>
      <w:proofErr w:type="spellStart"/>
      <w:r>
        <w:rPr>
          <w:rFonts w:ascii="Arial" w:eastAsia="Arial" w:hAnsi="Arial" w:cs="Arial"/>
          <w:sz w:val="18"/>
          <w:szCs w:val="18"/>
        </w:rPr>
        <w:t>Behaviour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Plan may operate outside of this system</w:t>
      </w:r>
    </w:p>
    <w:p w:rsidR="00F22D21" w:rsidRDefault="00F22D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2D21" w:rsidRDefault="00F22D2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22D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" w:right="547" w:bottom="144" w:left="63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D36" w:rsidRDefault="005B4D36" w:rsidP="00DE07D4">
      <w:pPr>
        <w:spacing w:after="0" w:line="240" w:lineRule="auto"/>
      </w:pPr>
      <w:r>
        <w:separator/>
      </w:r>
    </w:p>
  </w:endnote>
  <w:endnote w:type="continuationSeparator" w:id="0">
    <w:p w:rsidR="005B4D36" w:rsidRDefault="005B4D36" w:rsidP="00DE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chitects Daughter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D4" w:rsidRDefault="00DE07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D4" w:rsidRDefault="00DE07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D4" w:rsidRDefault="00DE0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D36" w:rsidRDefault="005B4D36" w:rsidP="00DE07D4">
      <w:pPr>
        <w:spacing w:after="0" w:line="240" w:lineRule="auto"/>
      </w:pPr>
      <w:r>
        <w:separator/>
      </w:r>
    </w:p>
  </w:footnote>
  <w:footnote w:type="continuationSeparator" w:id="0">
    <w:p w:rsidR="005B4D36" w:rsidRDefault="005B4D36" w:rsidP="00DE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D4" w:rsidRDefault="00DE07D4">
    <w:pPr>
      <w:pStyle w:val="Header"/>
    </w:pPr>
    <w:r>
      <w:rPr>
        <w:noProof/>
        <w:lang w:val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51266" o:spid="_x0000_s2050" type="#_x0000_t75" style="position:absolute;margin-left:0;margin-top:0;width:552.75pt;height:552.1pt;z-index:-251657216;mso-position-horizontal:center;mso-position-horizontal-relative:margin;mso-position-vertical:center;mso-position-vertical-relative:margin" o:allowincell="f">
          <v:imagedata r:id="rId1" o:title="Merlin2525-Draft-Business-Stamp-2[2]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D4" w:rsidRDefault="00DE07D4">
    <w:pPr>
      <w:pStyle w:val="Header"/>
    </w:pPr>
    <w:r>
      <w:rPr>
        <w:noProof/>
        <w:lang w:val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51267" o:spid="_x0000_s2051" type="#_x0000_t75" style="position:absolute;margin-left:0;margin-top:0;width:552.75pt;height:552.1pt;z-index:-251656192;mso-position-horizontal:center;mso-position-horizontal-relative:margin;mso-position-vertical:center;mso-position-vertical-relative:margin" o:allowincell="f">
          <v:imagedata r:id="rId1" o:title="Merlin2525-Draft-Business-Stamp-2[2]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D4" w:rsidRDefault="00DE07D4">
    <w:pPr>
      <w:pStyle w:val="Header"/>
    </w:pPr>
    <w:r>
      <w:rPr>
        <w:noProof/>
        <w:lang w:val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51265" o:spid="_x0000_s2049" type="#_x0000_t75" style="position:absolute;margin-left:0;margin-top:0;width:552.75pt;height:552.1pt;z-index:-251658240;mso-position-horizontal:center;mso-position-horizontal-relative:margin;mso-position-vertical:center;mso-position-vertical-relative:margin" o:allowincell="f">
          <v:imagedata r:id="rId1" o:title="Merlin2525-Draft-Business-Stamp-2[2]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D7867"/>
    <w:multiLevelType w:val="multilevel"/>
    <w:tmpl w:val="99AC0BDE"/>
    <w:lvl w:ilvl="0">
      <w:start w:val="1"/>
      <w:numFmt w:val="bullet"/>
      <w:lvlText w:val="●"/>
      <w:lvlJc w:val="left"/>
      <w:pPr>
        <w:ind w:left="902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22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42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062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82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02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22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42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662" w:hanging="360"/>
      </w:pPr>
      <w:rPr>
        <w:rFonts w:ascii="Arial" w:eastAsia="Arial" w:hAnsi="Arial" w:cs="Arial"/>
      </w:rPr>
    </w:lvl>
  </w:abstractNum>
  <w:abstractNum w:abstractNumId="1" w15:restartNumberingAfterBreak="0">
    <w:nsid w:val="1FEE2524"/>
    <w:multiLevelType w:val="multilevel"/>
    <w:tmpl w:val="FFE22A6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31E25DDA"/>
    <w:multiLevelType w:val="multilevel"/>
    <w:tmpl w:val="8DB86B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675BFC"/>
    <w:multiLevelType w:val="multilevel"/>
    <w:tmpl w:val="5A0C0CE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 w15:restartNumberingAfterBreak="0">
    <w:nsid w:val="4ECB7AA3"/>
    <w:multiLevelType w:val="multilevel"/>
    <w:tmpl w:val="019C40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04406F2"/>
    <w:multiLevelType w:val="multilevel"/>
    <w:tmpl w:val="257674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1A7C0B"/>
    <w:multiLevelType w:val="multilevel"/>
    <w:tmpl w:val="ED487A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7" w15:restartNumberingAfterBreak="0">
    <w:nsid w:val="7BE311CB"/>
    <w:multiLevelType w:val="multilevel"/>
    <w:tmpl w:val="730AAF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21"/>
    <w:rsid w:val="005B4D36"/>
    <w:rsid w:val="00DE07D4"/>
    <w:rsid w:val="00F2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D1B857A"/>
  <w15:docId w15:val="{EE0163DD-9C7D-4DD2-9B2D-3A9F74E1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0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7D4"/>
  </w:style>
  <w:style w:type="paragraph" w:styleId="Footer">
    <w:name w:val="footer"/>
    <w:basedOn w:val="Normal"/>
    <w:link w:val="FooterChar"/>
    <w:uiPriority w:val="99"/>
    <w:unhideWhenUsed/>
    <w:rsid w:val="00DE0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Bowyer, Suzanne</dc:creator>
  <cp:lastModifiedBy>Bowyer, Suzanne</cp:lastModifiedBy>
  <cp:revision>2</cp:revision>
  <dcterms:created xsi:type="dcterms:W3CDTF">2017-08-24T05:08:00Z</dcterms:created>
  <dcterms:modified xsi:type="dcterms:W3CDTF">2017-08-24T05:08:00Z</dcterms:modified>
</cp:coreProperties>
</file>